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02BF" w14:textId="77777777" w:rsidR="00A956CD" w:rsidRDefault="00A956CD" w:rsidP="00A956CD">
      <w:pPr>
        <w:pStyle w:val="Default"/>
      </w:pPr>
    </w:p>
    <w:p w14:paraId="72B702C0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40"/>
          <w:szCs w:val="40"/>
        </w:rPr>
      </w:pPr>
      <w:r w:rsidRPr="00E97763">
        <w:rPr>
          <w:rFonts w:ascii="Arial Unicode MS" w:eastAsia="Arial Unicode MS" w:hAnsi="Arial Unicode MS" w:cs="Arial Unicode MS"/>
        </w:rPr>
        <w:t xml:space="preserve"> </w:t>
      </w:r>
      <w:r w:rsidRPr="00E97763">
        <w:rPr>
          <w:rFonts w:ascii="Arial Unicode MS" w:eastAsia="Arial Unicode MS" w:hAnsi="Arial Unicode MS" w:cs="Arial Unicode MS"/>
          <w:sz w:val="40"/>
          <w:szCs w:val="40"/>
        </w:rPr>
        <w:t xml:space="preserve">Specification </w:t>
      </w:r>
    </w:p>
    <w:p w14:paraId="72B702C1" w14:textId="5989946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8"/>
          <w:szCs w:val="28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Product </w:t>
      </w:r>
      <w:r w:rsidR="00E97763">
        <w:rPr>
          <w:rFonts w:ascii="Arial Unicode MS" w:eastAsia="Arial Unicode MS" w:hAnsi="Arial Unicode MS" w:cs="Arial Unicode MS"/>
          <w:b/>
          <w:bCs/>
          <w:sz w:val="28"/>
          <w:szCs w:val="28"/>
        </w:rPr>
        <w:t>Fibrecell</w:t>
      </w:r>
    </w:p>
    <w:p w14:paraId="72B702C2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Article No.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BCAQ1F </w:t>
      </w:r>
    </w:p>
    <w:p w14:paraId="72B702C3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Manufacturer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Herbafood Ingredients GmbH, 14542 Werder (Havel), Germany </w:t>
      </w:r>
    </w:p>
    <w:p w14:paraId="72B702C5" w14:textId="7203C889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Description </w:t>
      </w:r>
      <w:r w:rsidR="00E97763">
        <w:rPr>
          <w:rFonts w:ascii="Arial Unicode MS" w:eastAsia="Arial Unicode MS" w:hAnsi="Arial Unicode MS" w:cs="Arial Unicode MS"/>
          <w:sz w:val="22"/>
          <w:szCs w:val="22"/>
        </w:rPr>
        <w:t>Fibrecell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 is made from harvest-fresh dejuiced, de-oiled, and carefully dried citrus fruits. </w:t>
      </w:r>
    </w:p>
    <w:p w14:paraId="72B702C6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The fine cream coloured powder with neutral taste and high water binding capacity is dispersible in cold and hot systems. </w:t>
      </w:r>
    </w:p>
    <w:p w14:paraId="72B702C7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General Quality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moisture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(2h, 105°C)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max. 10 % </w:t>
      </w: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Parameters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particle size (90%)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(sieve analysis)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&lt; 250 μm water binding capacity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(AACC 56-20, mod.)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25 ± 2.5 g/g </w:t>
      </w:r>
    </w:p>
    <w:p w14:paraId="72B702C8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Nutritional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dietary fibre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(AOAC 991.43 mod.)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88 – 93 % </w:t>
      </w: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Information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of which soluble approx. 20 % carbohydrate &lt; 1.0 % fat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(Weibull-Stoldt)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&lt; 1.0 % protein </w:t>
      </w: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(Kjeldahl)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max. 2.0 % </w:t>
      </w:r>
    </w:p>
    <w:p w14:paraId="72B702C9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energy* per 100g 810 kJ 200 kcal </w:t>
      </w:r>
    </w:p>
    <w:p w14:paraId="72B702CA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E97763">
        <w:rPr>
          <w:rFonts w:ascii="Arial Unicode MS" w:eastAsia="Arial Unicode MS" w:hAnsi="Arial Unicode MS" w:cs="Arial Unicode MS"/>
          <w:sz w:val="18"/>
          <w:szCs w:val="18"/>
        </w:rPr>
        <w:t xml:space="preserve">*calculated according to Directive 2008/100/EC </w:t>
      </w:r>
    </w:p>
    <w:p w14:paraId="72B702CB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Microbiological Data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total plate count max. 1 000 cfu/g yeasts and moulds max. 100 cfu/g </w:t>
      </w:r>
    </w:p>
    <w:p w14:paraId="72B702CC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salmonella negativ in 25 g </w:t>
      </w:r>
    </w:p>
    <w:p w14:paraId="3B931C3E" w14:textId="15AF4114" w:rsidR="00E97763" w:rsidRDefault="00A956CD" w:rsidP="00E97763">
      <w:pPr>
        <w:pStyle w:val="Default"/>
        <w:rPr>
          <w:rFonts w:ascii="Arial Unicode MS" w:eastAsia="Arial Unicode MS" w:hAnsi="Arial Unicode MS" w:cs="Arial Unicode MS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Heavy Metals </w:t>
      </w:r>
      <w:r w:rsidRPr="00E97763">
        <w:rPr>
          <w:rFonts w:ascii="Arial Unicode MS" w:eastAsia="Arial Unicode MS" w:hAnsi="Arial Unicode MS" w:cs="Arial Unicode MS"/>
          <w:sz w:val="22"/>
          <w:szCs w:val="22"/>
        </w:rPr>
        <w:t xml:space="preserve">The product complies with Regulation (EC) No. 1881/2006 as amended setting maximum levels for certain contaminants in foodstuffs (OJ L 364/5). Specification </w:t>
      </w:r>
      <w:bookmarkStart w:id="0" w:name="_GoBack"/>
      <w:bookmarkEnd w:id="0"/>
    </w:p>
    <w:p w14:paraId="72B702CF" w14:textId="76732D05" w:rsidR="00A956CD" w:rsidRPr="00E97763" w:rsidRDefault="00A956CD" w:rsidP="00E97763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Pesticides </w:t>
      </w:r>
      <w:r w:rsidRPr="00E97763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The product complies with Regulation (EC) No. 396/2005 as amended on maximum residue levels of pesticides in or on food and feed of plant an animal origin and amending Council Directive 91/414/EEC (OJ L 70/1). </w:t>
      </w:r>
    </w:p>
    <w:p w14:paraId="72B702D0" w14:textId="0FF526FC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Packaging </w:t>
      </w:r>
      <w:r w:rsidR="00E97763">
        <w:rPr>
          <w:rFonts w:ascii="Arial Unicode MS" w:eastAsia="Arial Unicode MS" w:hAnsi="Arial Unicode MS" w:cs="Arial Unicode MS"/>
          <w:color w:val="auto"/>
          <w:sz w:val="22"/>
          <w:szCs w:val="22"/>
        </w:rPr>
        <w:t>plastic bag</w:t>
      </w:r>
    </w:p>
    <w:p w14:paraId="72B702D1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Shelf Life </w:t>
      </w:r>
      <w:r w:rsidRPr="00E97763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18 months after date of manufacture (closed original packaging) </w:t>
      </w:r>
    </w:p>
    <w:p w14:paraId="72B702D2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The water binding capacity may decrease after six months. This can be compensated by appropriate dosing. </w:t>
      </w:r>
    </w:p>
    <w:p w14:paraId="72B702D3" w14:textId="77777777" w:rsidR="00A956CD" w:rsidRPr="00E97763" w:rsidRDefault="00A956CD" w:rsidP="00A956CD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E9776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Storage Conditions </w:t>
      </w:r>
      <w:r w:rsidRPr="00E97763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cool and dry (max. 25°C, max. 70% relative humidity) </w:t>
      </w:r>
    </w:p>
    <w:p w14:paraId="72B702D5" w14:textId="77777777" w:rsidR="00E218B8" w:rsidRPr="00E97763" w:rsidRDefault="00A956CD" w:rsidP="00A956CD">
      <w:pPr>
        <w:rPr>
          <w:rFonts w:ascii="Arial Unicode MS" w:eastAsia="Arial Unicode MS" w:hAnsi="Arial Unicode MS" w:cs="Arial Unicode MS"/>
        </w:rPr>
      </w:pPr>
      <w:r w:rsidRPr="00E97763">
        <w:rPr>
          <w:rFonts w:ascii="Arial Unicode MS" w:eastAsia="Arial Unicode MS" w:hAnsi="Arial Unicode MS" w:cs="Arial Unicode MS"/>
          <w:b/>
          <w:bCs/>
        </w:rPr>
        <w:t xml:space="preserve">Labelling </w:t>
      </w:r>
      <w:r w:rsidRPr="00E97763">
        <w:rPr>
          <w:rFonts w:ascii="Arial Unicode MS" w:eastAsia="Arial Unicode MS" w:hAnsi="Arial Unicode MS" w:cs="Arial Unicode MS"/>
        </w:rPr>
        <w:t>citrus fibre</w:t>
      </w:r>
    </w:p>
    <w:sectPr w:rsidR="00E218B8" w:rsidRPr="00E97763" w:rsidSect="008C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56CD"/>
    <w:rsid w:val="008C3D00"/>
    <w:rsid w:val="00972EBB"/>
    <w:rsid w:val="00A956CD"/>
    <w:rsid w:val="00E761F9"/>
    <w:rsid w:val="00E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02BF"/>
  <w15:docId w15:val="{927CCA84-938E-42E9-8530-6BF77BBD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 Gelato</dc:creator>
  <cp:lastModifiedBy>Gary Barlow</cp:lastModifiedBy>
  <cp:revision>2</cp:revision>
  <dcterms:created xsi:type="dcterms:W3CDTF">2013-07-26T08:00:00Z</dcterms:created>
  <dcterms:modified xsi:type="dcterms:W3CDTF">2017-07-18T06:35:00Z</dcterms:modified>
</cp:coreProperties>
</file>